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73A9">
      <w:pPr>
        <w:spacing w:before="104" w:line="224" w:lineRule="auto"/>
        <w:rPr>
          <w:rFonts w:ascii="黑体" w:hAnsi="黑体" w:eastAsia="黑体" w:cs="黑体"/>
          <w:b/>
          <w:bCs/>
          <w:spacing w:val="28"/>
          <w:sz w:val="32"/>
          <w:szCs w:val="32"/>
        </w:rPr>
      </w:pPr>
      <w:bookmarkStart w:id="0" w:name="_GoBack"/>
      <w:bookmarkEnd w:id="0"/>
    </w:p>
    <w:p w14:paraId="16DC5930">
      <w:pPr>
        <w:pStyle w:val="2"/>
        <w:spacing w:line="280" w:lineRule="auto"/>
      </w:pPr>
    </w:p>
    <w:p w14:paraId="0A117005">
      <w:pPr>
        <w:pStyle w:val="2"/>
        <w:spacing w:line="281" w:lineRule="auto"/>
      </w:pPr>
    </w:p>
    <w:p w14:paraId="09A96500">
      <w:pPr>
        <w:spacing w:before="146" w:line="219" w:lineRule="auto"/>
        <w:ind w:left="1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9"/>
          <w:sz w:val="45"/>
          <w:szCs w:val="45"/>
        </w:rPr>
        <w:t>常德市</w:t>
      </w:r>
      <w:r>
        <w:rPr>
          <w:rFonts w:hint="eastAsia" w:ascii="Times New Roman" w:hAnsi="Times New Roman" w:eastAsia="宋体" w:cs="Times New Roman"/>
          <w:b/>
          <w:bCs/>
          <w:sz w:val="45"/>
          <w:szCs w:val="45"/>
          <w:lang w:eastAsia="zh-CN"/>
        </w:rPr>
        <w:t>水运事务中心</w:t>
      </w:r>
      <w:r>
        <w:rPr>
          <w:rFonts w:ascii="宋体" w:hAnsi="宋体" w:eastAsia="宋体" w:cs="宋体"/>
          <w:b/>
          <w:bCs/>
          <w:spacing w:val="19"/>
          <w:sz w:val="45"/>
          <w:szCs w:val="45"/>
        </w:rPr>
        <w:t>2026年部门预算公开</w:t>
      </w:r>
    </w:p>
    <w:p w14:paraId="0A468C70">
      <w:pPr>
        <w:pStyle w:val="2"/>
        <w:spacing w:line="356" w:lineRule="auto"/>
      </w:pPr>
    </w:p>
    <w:p w14:paraId="6C6E729D">
      <w:pPr>
        <w:pStyle w:val="2"/>
        <w:spacing w:line="356" w:lineRule="auto"/>
      </w:pPr>
    </w:p>
    <w:p w14:paraId="569B18C0">
      <w:pPr>
        <w:pStyle w:val="2"/>
        <w:spacing w:line="357" w:lineRule="auto"/>
      </w:pPr>
    </w:p>
    <w:p w14:paraId="419DF3FA">
      <w:pPr>
        <w:spacing w:before="88" w:line="227" w:lineRule="auto"/>
        <w:ind w:left="3929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-38"/>
          <w:sz w:val="27"/>
          <w:szCs w:val="27"/>
        </w:rPr>
        <w:t>目录</w:t>
      </w:r>
    </w:p>
    <w:p w14:paraId="484BFC06">
      <w:pPr>
        <w:pStyle w:val="2"/>
        <w:spacing w:line="264" w:lineRule="auto"/>
      </w:pPr>
    </w:p>
    <w:p w14:paraId="74BCFD99">
      <w:pPr>
        <w:pStyle w:val="2"/>
        <w:spacing w:line="265" w:lineRule="auto"/>
      </w:pPr>
    </w:p>
    <w:p w14:paraId="5E8A8DE6">
      <w:pPr>
        <w:pStyle w:val="2"/>
        <w:spacing w:line="265" w:lineRule="auto"/>
      </w:pPr>
    </w:p>
    <w:p w14:paraId="1280E5FD">
      <w:pPr>
        <w:spacing w:before="104" w:line="221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第一部分：2026年部门预算说明</w:t>
      </w:r>
    </w:p>
    <w:p w14:paraId="79B0B921">
      <w:pPr>
        <w:spacing w:before="176" w:line="221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一、部门基本概况</w:t>
      </w:r>
    </w:p>
    <w:p w14:paraId="5F6DCBE7">
      <w:pPr>
        <w:spacing w:before="235" w:line="222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(一)职能职责</w:t>
      </w:r>
    </w:p>
    <w:p w14:paraId="5E10F3F7">
      <w:pPr>
        <w:spacing w:before="238" w:line="222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6"/>
          <w:sz w:val="32"/>
          <w:szCs w:val="32"/>
        </w:rPr>
        <w:t>(二)机构设置</w:t>
      </w:r>
    </w:p>
    <w:p w14:paraId="5AE065CD">
      <w:pPr>
        <w:spacing w:before="225" w:line="222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二、部门预算单位构成</w:t>
      </w:r>
    </w:p>
    <w:p w14:paraId="60B8A180">
      <w:pPr>
        <w:spacing w:before="248" w:line="222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0"/>
          <w:sz w:val="32"/>
          <w:szCs w:val="32"/>
        </w:rPr>
        <w:t>三、部门收支总体情况</w:t>
      </w:r>
    </w:p>
    <w:p w14:paraId="0E1E1DA8">
      <w:pPr>
        <w:spacing w:before="230" w:line="222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(一)收入预算</w:t>
      </w:r>
    </w:p>
    <w:p w14:paraId="721A51DA">
      <w:pPr>
        <w:spacing w:before="245" w:line="222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(二)支出预算</w:t>
      </w:r>
    </w:p>
    <w:p w14:paraId="19C989DB">
      <w:pPr>
        <w:spacing w:before="223" w:line="221" w:lineRule="auto"/>
        <w:ind w:left="58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四、一般公共预算拨款收支情况</w:t>
      </w:r>
    </w:p>
    <w:p w14:paraId="2723EE5C">
      <w:pPr>
        <w:spacing w:before="262" w:line="222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(一)基本支出</w:t>
      </w:r>
    </w:p>
    <w:p w14:paraId="443231E4">
      <w:pPr>
        <w:spacing w:before="227" w:line="224" w:lineRule="auto"/>
        <w:ind w:left="7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5"/>
          <w:sz w:val="32"/>
          <w:szCs w:val="32"/>
        </w:rPr>
        <w:t>(二)项目支出</w:t>
      </w:r>
    </w:p>
    <w:p w14:paraId="218179B4">
      <w:pPr>
        <w:spacing w:before="220" w:line="222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五、政府性基金预算拨款收支情况</w:t>
      </w:r>
    </w:p>
    <w:p w14:paraId="2389DA27">
      <w:pPr>
        <w:spacing w:before="244" w:line="221" w:lineRule="auto"/>
        <w:ind w:left="5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六、其他重要事项的情况说明</w:t>
      </w:r>
    </w:p>
    <w:p w14:paraId="357D52A5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1900" w:h="16830"/>
          <w:pgMar w:top="1430" w:right="1505" w:bottom="1317" w:left="1674" w:header="0" w:footer="1011" w:gutter="0"/>
          <w:pgNumType w:fmt="decimal"/>
          <w:cols w:space="720" w:num="1"/>
        </w:sectPr>
      </w:pPr>
    </w:p>
    <w:p w14:paraId="59C2A207">
      <w:pPr>
        <w:pStyle w:val="2"/>
        <w:spacing w:line="295" w:lineRule="auto"/>
      </w:pPr>
    </w:p>
    <w:p w14:paraId="777DA7A7">
      <w:pPr>
        <w:pStyle w:val="2"/>
        <w:spacing w:line="296" w:lineRule="auto"/>
      </w:pPr>
    </w:p>
    <w:p w14:paraId="5CCAF376">
      <w:pPr>
        <w:pStyle w:val="2"/>
        <w:spacing w:line="296" w:lineRule="auto"/>
      </w:pPr>
    </w:p>
    <w:p w14:paraId="5058F74F">
      <w:pPr>
        <w:spacing w:before="104" w:line="221" w:lineRule="auto"/>
        <w:ind w:left="7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(一)机关运行经费情况</w:t>
      </w:r>
    </w:p>
    <w:p w14:paraId="4C6BD40F">
      <w:pPr>
        <w:spacing w:before="207" w:line="222" w:lineRule="auto"/>
        <w:ind w:left="7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(二)“三公”经费预算情况</w:t>
      </w:r>
    </w:p>
    <w:p w14:paraId="6F61CD51">
      <w:pPr>
        <w:spacing w:before="213" w:line="220" w:lineRule="auto"/>
        <w:ind w:left="7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(三)一般性支出情况</w:t>
      </w:r>
    </w:p>
    <w:p w14:paraId="2F5E0DD8">
      <w:pPr>
        <w:spacing w:before="232" w:line="222" w:lineRule="auto"/>
        <w:ind w:left="7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(四)政府采购情况</w:t>
      </w:r>
    </w:p>
    <w:p w14:paraId="422FECC5">
      <w:pPr>
        <w:spacing w:before="216" w:line="222" w:lineRule="auto"/>
        <w:ind w:left="7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(五)国有资产占用使用及新增资产配置情况</w:t>
      </w:r>
    </w:p>
    <w:p w14:paraId="50F5DB51">
      <w:pPr>
        <w:spacing w:before="212" w:line="222" w:lineRule="auto"/>
        <w:ind w:left="7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(六)预算绩效目标说明</w:t>
      </w:r>
    </w:p>
    <w:p w14:paraId="10E93225">
      <w:pPr>
        <w:spacing w:before="146" w:line="222" w:lineRule="auto"/>
        <w:ind w:left="65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七、名词解释</w:t>
      </w:r>
    </w:p>
    <w:p w14:paraId="4227F455">
      <w:pPr>
        <w:spacing w:before="293" w:line="222" w:lineRule="auto"/>
        <w:ind w:left="65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第二部分：2026年部门预算公开表</w:t>
      </w:r>
    </w:p>
    <w:p w14:paraId="4ADD189D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footerReference r:id="rId6" w:type="default"/>
          <w:pgSz w:w="11900" w:h="16830"/>
          <w:pgMar w:top="1430" w:right="1785" w:bottom="1258" w:left="1423" w:header="0" w:footer="960" w:gutter="0"/>
          <w:pgNumType w:fmt="decimal"/>
          <w:cols w:space="720" w:num="1"/>
        </w:sectPr>
      </w:pPr>
    </w:p>
    <w:p w14:paraId="187F2D7C">
      <w:pPr>
        <w:pStyle w:val="2"/>
        <w:spacing w:line="339" w:lineRule="auto"/>
      </w:pPr>
    </w:p>
    <w:p w14:paraId="0154432C">
      <w:pPr>
        <w:pStyle w:val="2"/>
        <w:spacing w:line="339" w:lineRule="auto"/>
      </w:pPr>
    </w:p>
    <w:p w14:paraId="57461756">
      <w:pPr>
        <w:spacing w:before="149" w:line="219" w:lineRule="auto"/>
        <w:ind w:left="4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"/>
          <w:sz w:val="46"/>
          <w:szCs w:val="46"/>
        </w:rPr>
        <w:t>第一部分：2026年部门预算说明</w:t>
      </w:r>
    </w:p>
    <w:p w14:paraId="2DDD4A44">
      <w:pPr>
        <w:pStyle w:val="2"/>
        <w:spacing w:line="334" w:lineRule="auto"/>
      </w:pPr>
    </w:p>
    <w:p w14:paraId="48C0628A">
      <w:pPr>
        <w:pStyle w:val="2"/>
        <w:spacing w:line="335" w:lineRule="auto"/>
      </w:pPr>
    </w:p>
    <w:p w14:paraId="5C9712DE">
      <w:pPr>
        <w:numPr>
          <w:ilvl w:val="0"/>
          <w:numId w:val="1"/>
        </w:numPr>
        <w:spacing w:before="104" w:line="221" w:lineRule="auto"/>
        <w:ind w:left="624"/>
        <w:outlineLvl w:val="1"/>
        <w:rPr>
          <w:rFonts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ascii="黑体" w:hAnsi="黑体" w:eastAsia="黑体" w:cs="黑体"/>
          <w:b/>
          <w:bCs/>
          <w:spacing w:val="20"/>
          <w:sz w:val="32"/>
          <w:szCs w:val="32"/>
        </w:rPr>
        <w:t>部门基本概况</w:t>
      </w:r>
    </w:p>
    <w:p w14:paraId="1837C279">
      <w:pPr>
        <w:numPr>
          <w:ilvl w:val="0"/>
          <w:numId w:val="0"/>
        </w:numPr>
        <w:spacing w:before="104" w:line="221" w:lineRule="auto"/>
        <w:outlineLvl w:val="1"/>
        <w:rPr>
          <w:rFonts w:ascii="黑体" w:hAnsi="黑体" w:eastAsia="黑体" w:cs="黑体"/>
          <w:b/>
          <w:bCs/>
          <w:spacing w:val="20"/>
          <w:sz w:val="32"/>
          <w:szCs w:val="32"/>
        </w:rPr>
      </w:pPr>
    </w:p>
    <w:p w14:paraId="419163A6">
      <w:pPr>
        <w:spacing w:before="209" w:line="224" w:lineRule="auto"/>
        <w:ind w:left="81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0"/>
          <w:sz w:val="32"/>
          <w:szCs w:val="32"/>
        </w:rPr>
        <w:t>(一)职能职责</w:t>
      </w:r>
    </w:p>
    <w:p w14:paraId="7D842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/>
          <w:color w:val="000000"/>
          <w:szCs w:val="32"/>
        </w:rPr>
        <w:t xml:space="preserve"> 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宣传、贯彻、执行国家和省市关于水运行业发展、航道管养及船舶船用产品检验的方针政策、法律法规；参与拟订全市水路交通运输行业发展规划、地方性法规规章及技术规范；协助编制港口、航道、水路运输等专项规划和工程项目年度计划。</w:t>
      </w:r>
    </w:p>
    <w:p w14:paraId="490EF1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2、按照规定权限，承担船舶（含渔船）及水上设施法定检验，承担船用产品法定检验，承担船舶设计图纸的审查。</w:t>
      </w:r>
    </w:p>
    <w:p w14:paraId="01DB3E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3、承担地方航道管理的事务性工作，负责等级航道建设、养护和维护工程的组织实施；承担地方航道通航条件影响评价的技术性审查工作；负责所辖地方航道航标和助航标志的设置。</w:t>
      </w:r>
    </w:p>
    <w:p w14:paraId="144D8D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4、参与全市水路交通运输行业统计信息的采集、水运行业相关政策的宣传和咨询、水路运输辅助业除（船舶管理）以外的备案管理、新增普通货船运力的备案管理。</w:t>
      </w:r>
    </w:p>
    <w:p w14:paraId="0E50AF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5、协助船舶登记、船员管理和船员考试发证相关事务性工作。</w:t>
      </w:r>
    </w:p>
    <w:p w14:paraId="6177CC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6、承担全市水上交通搜寻救助、沉船打捞等相关技术支撑工作。</w:t>
      </w:r>
    </w:p>
    <w:p w14:paraId="178358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7、协助指导区县（市）水运事务工作。</w:t>
      </w:r>
    </w:p>
    <w:p w14:paraId="2FDD0B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8、承办市委、市人民政府和市交通运输局交办的其他工作。</w:t>
      </w:r>
    </w:p>
    <w:p w14:paraId="29299A40">
      <w:pPr>
        <w:spacing w:before="212" w:line="229" w:lineRule="auto"/>
        <w:ind w:left="8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3"/>
          <w:sz w:val="32"/>
          <w:szCs w:val="32"/>
        </w:rPr>
        <w:t>(二)机构设置</w:t>
      </w:r>
    </w:p>
    <w:p w14:paraId="53EEEA8E">
      <w:pPr>
        <w:spacing w:before="196" w:line="347" w:lineRule="auto"/>
        <w:ind w:firstLine="61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根据市编委办核定，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市水运事务中心内设科室12个，所属事业单位1个，全部纳入2026年部门预算编制范围。</w:t>
      </w:r>
    </w:p>
    <w:p w14:paraId="212889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32"/>
          <w:szCs w:val="32"/>
          <w:lang w:val="en-US" w:eastAsia="zh-CN" w:bidi="ar-SA"/>
        </w:rPr>
        <w:t>内设科室分别是办公室、人事部（纪律检查室与其合署办公）、财务部、计划基建部、船舶检验部、航运事务部、船员所、水上应急救援中心、沅水船舶检验所、澧水船舶检验所、府坪分中心、盐关分中心。</w:t>
      </w:r>
    </w:p>
    <w:p w14:paraId="2954B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348" w:lineRule="auto"/>
        <w:ind w:left="624"/>
        <w:textAlignment w:val="baseline"/>
        <w:outlineLvl w:val="1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所属事业单位是市水运事务中心地方航道所。</w:t>
      </w:r>
    </w:p>
    <w:p w14:paraId="6E63E6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348" w:lineRule="auto"/>
        <w:ind w:left="624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二、部门预算单位构成</w:t>
      </w:r>
    </w:p>
    <w:p w14:paraId="5032A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348" w:lineRule="auto"/>
        <w:ind w:right="11" w:firstLine="624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我中心无二级预算单位，因此，纳入2026年部门预算编制范围的为常德市水运事务中心本级。</w:t>
      </w:r>
    </w:p>
    <w:p w14:paraId="57477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348" w:lineRule="auto"/>
        <w:ind w:left="624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三、部门收支总体情况</w:t>
      </w:r>
    </w:p>
    <w:p w14:paraId="609E64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2026年单位预算即市水运事务中心预算。收入包括经费拨款。支出既包括保障单位基本运行的经费，也包括市水运事务中心归口管理使用的船检履职经费、海巡艇监管经费、船舶污染物回收转运处置及监控视频租赁专项经费；主要涉及一般公共服务支出、社会保障和就业支出、住房保障支出、交通运输支出等。</w:t>
      </w:r>
    </w:p>
    <w:p w14:paraId="2D57FC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2026年市水运事务中心没有政府性基金预算拨款、纳入财政专户管理的非税收入拨款、上级补助收入和国有资本经营预算安排的收入，也没有使用政府性基金预算拨款、纳入财政专户管理的非税收入拨款、上级补助收入和国有资本经营预算安排的支出。</w:t>
      </w:r>
    </w:p>
    <w:p w14:paraId="18B32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48" w:lineRule="auto"/>
        <w:ind w:firstLine="789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(一)收入预算。</w:t>
      </w:r>
      <w:r>
        <w:rPr>
          <w:rFonts w:ascii="仿宋" w:hAnsi="仿宋" w:eastAsia="仿宋" w:cs="仿宋"/>
          <w:sz w:val="32"/>
          <w:szCs w:val="32"/>
        </w:rPr>
        <w:t>2026年年初收入预算数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1"/>
          <w:sz w:val="32"/>
          <w:szCs w:val="32"/>
        </w:rPr>
        <w:t>，其中，</w:t>
      </w:r>
      <w:r>
        <w:rPr>
          <w:rFonts w:ascii="仿宋" w:hAnsi="仿宋" w:eastAsia="仿宋" w:cs="仿宋"/>
          <w:spacing w:val="4"/>
          <w:sz w:val="32"/>
          <w:szCs w:val="32"/>
        </w:rPr>
        <w:t>一般公共预算拨款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pacing w:val="4"/>
          <w:sz w:val="32"/>
          <w:szCs w:val="32"/>
        </w:rPr>
        <w:t>万元(经费拨款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pacing w:val="4"/>
          <w:sz w:val="32"/>
          <w:szCs w:val="32"/>
        </w:rPr>
        <w:t>万元，</w:t>
      </w:r>
      <w:r>
        <w:rPr>
          <w:rFonts w:ascii="仿宋" w:hAnsi="仿宋" w:eastAsia="仿宋" w:cs="仿宋"/>
          <w:spacing w:val="3"/>
          <w:sz w:val="32"/>
          <w:szCs w:val="32"/>
        </w:rPr>
        <w:t>纳入预算管理</w:t>
      </w:r>
      <w:r>
        <w:rPr>
          <w:rFonts w:ascii="仿宋" w:hAnsi="仿宋" w:eastAsia="仿宋" w:cs="仿宋"/>
          <w:spacing w:val="1"/>
          <w:sz w:val="32"/>
          <w:szCs w:val="32"/>
        </w:rPr>
        <w:t>的非税收入拨款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pacing w:val="1"/>
          <w:sz w:val="32"/>
          <w:szCs w:val="32"/>
        </w:rPr>
        <w:t>万元);政府性基金预算拨款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pacing w:val="1"/>
          <w:sz w:val="32"/>
          <w:szCs w:val="32"/>
        </w:rPr>
        <w:t>万元。</w:t>
      </w:r>
      <w:r>
        <w:rPr>
          <w:rFonts w:ascii="仿宋" w:hAnsi="仿宋" w:eastAsia="仿宋" w:cs="仿宋"/>
          <w:spacing w:val="27"/>
          <w:sz w:val="32"/>
          <w:szCs w:val="32"/>
        </w:rPr>
        <w:t>2026年收入预算较上年减少</w:t>
      </w:r>
      <w:r>
        <w:rPr>
          <w:rFonts w:hint="eastAsia" w:ascii="仿宋" w:hAnsi="仿宋" w:eastAsia="仿宋" w:cs="仿宋"/>
          <w:spacing w:val="27"/>
          <w:sz w:val="32"/>
          <w:szCs w:val="32"/>
          <w:lang w:val="en-US" w:eastAsia="zh-CN"/>
        </w:rPr>
        <w:t>27.98</w:t>
      </w:r>
      <w:r>
        <w:rPr>
          <w:rFonts w:ascii="仿宋" w:hAnsi="仿宋" w:eastAsia="仿宋" w:cs="仿宋"/>
          <w:spacing w:val="27"/>
          <w:sz w:val="32"/>
          <w:szCs w:val="32"/>
        </w:rPr>
        <w:t>万元，下降</w:t>
      </w:r>
      <w:r>
        <w:rPr>
          <w:rFonts w:hint="eastAsia" w:ascii="仿宋" w:hAnsi="仿宋" w:eastAsia="仿宋" w:cs="仿宋"/>
          <w:spacing w:val="27"/>
          <w:sz w:val="32"/>
          <w:szCs w:val="32"/>
          <w:lang w:val="en-US" w:eastAsia="zh-CN"/>
        </w:rPr>
        <w:t>1.23</w:t>
      </w:r>
      <w:r>
        <w:rPr>
          <w:rFonts w:ascii="Times New Roman" w:hAnsi="Times New Roman" w:eastAsia="Times New Roman" w:cs="Times New Roman"/>
          <w:spacing w:val="24"/>
          <w:sz w:val="32"/>
          <w:szCs w:val="32"/>
        </w:rPr>
        <w:t>%,</w:t>
      </w:r>
      <w:r>
        <w:rPr>
          <w:rFonts w:ascii="仿宋" w:hAnsi="仿宋" w:eastAsia="仿宋" w:cs="仿宋"/>
          <w:spacing w:val="24"/>
          <w:sz w:val="32"/>
          <w:szCs w:val="32"/>
        </w:rPr>
        <w:t>主要是经费拨款</w:t>
      </w:r>
      <w:r>
        <w:rPr>
          <w:rFonts w:ascii="仿宋" w:hAnsi="仿宋" w:eastAsia="仿宋" w:cs="仿宋"/>
          <w:spacing w:val="23"/>
          <w:sz w:val="32"/>
          <w:szCs w:val="32"/>
        </w:rPr>
        <w:t>减少</w:t>
      </w:r>
      <w:r>
        <w:rPr>
          <w:rFonts w:hint="eastAsia" w:ascii="仿宋" w:hAnsi="仿宋" w:eastAsia="仿宋" w:cs="仿宋"/>
          <w:spacing w:val="23"/>
          <w:sz w:val="32"/>
          <w:szCs w:val="32"/>
          <w:lang w:val="en-US" w:eastAsia="zh-CN"/>
        </w:rPr>
        <w:t>27.98</w:t>
      </w:r>
      <w:r>
        <w:rPr>
          <w:rFonts w:ascii="仿宋" w:hAnsi="仿宋" w:eastAsia="仿宋" w:cs="仿宋"/>
          <w:spacing w:val="23"/>
          <w:sz w:val="32"/>
          <w:szCs w:val="32"/>
        </w:rPr>
        <w:t>万</w:t>
      </w:r>
      <w:r>
        <w:rPr>
          <w:rFonts w:ascii="仿宋" w:hAnsi="仿宋" w:eastAsia="仿宋" w:cs="仿宋"/>
          <w:spacing w:val="-2"/>
          <w:sz w:val="32"/>
          <w:szCs w:val="32"/>
        </w:rPr>
        <w:t>元，主要原因是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类档经费下调及项目经费压减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 w14:paraId="71546B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348" w:lineRule="auto"/>
        <w:ind w:right="106" w:firstLine="640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sectPr>
          <w:footerReference r:id="rId7" w:type="default"/>
          <w:pgSz w:w="11900" w:h="16830"/>
          <w:pgMar w:top="1430" w:right="1599" w:bottom="1257" w:left="1420" w:header="0" w:footer="959" w:gutter="0"/>
          <w:pgNumType w:fmt="decimal"/>
          <w:cols w:space="720" w:num="1"/>
        </w:sectPr>
      </w:pPr>
      <w:r>
        <w:rPr>
          <w:rFonts w:ascii="楷体" w:hAnsi="楷体" w:eastAsia="楷体" w:cs="楷体"/>
          <w:sz w:val="32"/>
          <w:szCs w:val="32"/>
        </w:rPr>
        <w:t>(二)支出预算。</w:t>
      </w:r>
      <w:r>
        <w:rPr>
          <w:rFonts w:ascii="仿宋" w:hAnsi="仿宋" w:eastAsia="仿宋" w:cs="仿宋"/>
          <w:sz w:val="32"/>
          <w:szCs w:val="32"/>
        </w:rPr>
        <w:t>2026年年初支出预算数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z w:val="32"/>
          <w:szCs w:val="32"/>
        </w:rPr>
        <w:t>万元，其中，基本支出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2037.4</w:t>
      </w:r>
      <w:r>
        <w:rPr>
          <w:rFonts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215</w:t>
      </w:r>
      <w:r>
        <w:rPr>
          <w:rFonts w:ascii="仿宋" w:hAnsi="仿宋" w:eastAsia="仿宋" w:cs="仿宋"/>
          <w:sz w:val="32"/>
          <w:szCs w:val="32"/>
        </w:rPr>
        <w:t>万元。主要包括</w:t>
      </w:r>
      <w:r>
        <w:rPr>
          <w:rFonts w:ascii="仿宋" w:hAnsi="仿宋" w:eastAsia="仿宋" w:cs="仿宋"/>
          <w:spacing w:val="2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665.41</w:t>
      </w:r>
      <w:r>
        <w:rPr>
          <w:rFonts w:ascii="仿宋" w:hAnsi="仿宋" w:eastAsia="仿宋" w:cs="仿宋"/>
          <w:spacing w:val="2"/>
          <w:sz w:val="32"/>
          <w:szCs w:val="32"/>
        </w:rPr>
        <w:t>万元，住房保障支出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114.65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交通运输支出1472.35万元</w:t>
      </w:r>
      <w:r>
        <w:rPr>
          <w:rFonts w:ascii="仿宋" w:hAnsi="仿宋" w:eastAsia="仿宋" w:cs="仿宋"/>
          <w:spacing w:val="4"/>
          <w:sz w:val="32"/>
          <w:szCs w:val="32"/>
        </w:rPr>
        <w:t>。2026年支出</w:t>
      </w:r>
      <w:r>
        <w:rPr>
          <w:rFonts w:ascii="仿宋" w:hAnsi="仿宋" w:eastAsia="仿宋" w:cs="仿宋"/>
          <w:spacing w:val="22"/>
          <w:sz w:val="32"/>
          <w:szCs w:val="32"/>
        </w:rPr>
        <w:t>算较上年减少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27.98</w:t>
      </w:r>
      <w:r>
        <w:rPr>
          <w:rFonts w:ascii="仿宋" w:hAnsi="仿宋" w:eastAsia="仿宋" w:cs="仿宋"/>
          <w:spacing w:val="22"/>
          <w:sz w:val="32"/>
          <w:szCs w:val="32"/>
        </w:rPr>
        <w:t>万元，下降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1.23</w:t>
      </w:r>
      <w:r>
        <w:rPr>
          <w:rFonts w:ascii="宋体" w:hAnsi="宋体" w:eastAsia="宋体" w:cs="宋体"/>
          <w:spacing w:val="22"/>
          <w:sz w:val="32"/>
          <w:szCs w:val="32"/>
        </w:rPr>
        <w:t>%,</w:t>
      </w:r>
      <w:r>
        <w:rPr>
          <w:rFonts w:ascii="仿宋" w:hAnsi="仿宋" w:eastAsia="仿宋" w:cs="仿宋"/>
          <w:spacing w:val="22"/>
          <w:sz w:val="32"/>
          <w:szCs w:val="32"/>
        </w:rPr>
        <w:t>主要是</w:t>
      </w:r>
      <w:r>
        <w:rPr>
          <w:rFonts w:ascii="仿宋" w:hAnsi="仿宋" w:eastAsia="仿宋" w:cs="仿宋"/>
          <w:spacing w:val="18"/>
          <w:sz w:val="32"/>
          <w:szCs w:val="32"/>
        </w:rPr>
        <w:t>经费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拨款</w:t>
      </w:r>
      <w:r>
        <w:rPr>
          <w:rFonts w:ascii="仿宋" w:hAnsi="仿宋" w:eastAsia="仿宋" w:cs="仿宋"/>
          <w:spacing w:val="18"/>
          <w:sz w:val="32"/>
          <w:szCs w:val="32"/>
        </w:rPr>
        <w:t>减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少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27.98</w:t>
      </w:r>
      <w:r>
        <w:rPr>
          <w:rFonts w:ascii="仿宋" w:hAnsi="仿宋" w:eastAsia="仿宋" w:cs="仿宋"/>
          <w:spacing w:val="18"/>
          <w:sz w:val="32"/>
          <w:szCs w:val="32"/>
        </w:rPr>
        <w:t>万元，主要</w:t>
      </w:r>
      <w:r>
        <w:rPr>
          <w:rFonts w:ascii="仿宋" w:hAnsi="仿宋" w:eastAsia="仿宋" w:cs="仿宋"/>
          <w:spacing w:val="-3"/>
          <w:sz w:val="32"/>
          <w:szCs w:val="32"/>
        </w:rPr>
        <w:t>原因是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类档经费下调及项目经费压减。</w:t>
      </w:r>
    </w:p>
    <w:p w14:paraId="40D42158">
      <w:pPr>
        <w:spacing w:before="104" w:line="346" w:lineRule="auto"/>
        <w:ind w:right="220"/>
        <w:jc w:val="both"/>
        <w:rPr>
          <w:rFonts w:ascii="仿宋" w:hAnsi="仿宋" w:eastAsia="仿宋" w:cs="仿宋"/>
          <w:sz w:val="32"/>
          <w:szCs w:val="32"/>
        </w:rPr>
      </w:pPr>
    </w:p>
    <w:p w14:paraId="3635B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48" w:lineRule="auto"/>
        <w:ind w:left="703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四、一般公共预算拨款收支情况</w:t>
      </w:r>
    </w:p>
    <w:p w14:paraId="42E9C7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348" w:lineRule="auto"/>
        <w:ind w:right="156" w:firstLine="67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2026年一般公共预算拨款收入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pacing w:val="7"/>
          <w:sz w:val="32"/>
          <w:szCs w:val="32"/>
        </w:rPr>
        <w:t>万元，支出包括：</w:t>
      </w:r>
      <w:r>
        <w:rPr>
          <w:rFonts w:ascii="仿宋" w:hAnsi="仿宋" w:eastAsia="仿宋" w:cs="仿宋"/>
          <w:spacing w:val="3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665.41</w:t>
      </w:r>
      <w:r>
        <w:rPr>
          <w:rFonts w:ascii="仿宋" w:hAnsi="仿宋" w:eastAsia="仿宋" w:cs="仿宋"/>
          <w:spacing w:val="3"/>
          <w:sz w:val="32"/>
          <w:szCs w:val="32"/>
        </w:rPr>
        <w:t>万元，占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29.54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%;</w:t>
      </w:r>
      <w:r>
        <w:rPr>
          <w:rFonts w:ascii="仿宋" w:hAnsi="仿宋" w:eastAsia="仿宋" w:cs="仿宋"/>
          <w:spacing w:val="-2"/>
          <w:sz w:val="32"/>
          <w:szCs w:val="32"/>
        </w:rPr>
        <w:t>住房保障支出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114.65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3"/>
          <w:sz w:val="32"/>
          <w:szCs w:val="32"/>
        </w:rPr>
        <w:t>占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5.09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%;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交通运输支出1472.35万元，</w:t>
      </w:r>
      <w:r>
        <w:rPr>
          <w:rFonts w:ascii="仿宋" w:hAnsi="仿宋" w:eastAsia="仿宋" w:cs="仿宋"/>
          <w:spacing w:val="3"/>
          <w:sz w:val="32"/>
          <w:szCs w:val="32"/>
        </w:rPr>
        <w:t>占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65.37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%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2026</w:t>
      </w:r>
      <w:r>
        <w:rPr>
          <w:rFonts w:ascii="仿宋" w:hAnsi="仿宋" w:eastAsia="仿宋" w:cs="仿宋"/>
          <w:spacing w:val="-2"/>
          <w:sz w:val="32"/>
          <w:szCs w:val="32"/>
        </w:rPr>
        <w:t>年一般公共</w:t>
      </w:r>
      <w:r>
        <w:rPr>
          <w:rFonts w:ascii="仿宋" w:hAnsi="仿宋" w:eastAsia="仿宋" w:cs="仿宋"/>
          <w:spacing w:val="16"/>
          <w:sz w:val="32"/>
          <w:szCs w:val="32"/>
        </w:rPr>
        <w:t>预算拨款规模较上年减少</w:t>
      </w: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27.98</w:t>
      </w:r>
      <w:r>
        <w:rPr>
          <w:rFonts w:ascii="仿宋" w:hAnsi="仿宋" w:eastAsia="仿宋" w:cs="仿宋"/>
          <w:spacing w:val="16"/>
          <w:sz w:val="32"/>
          <w:szCs w:val="32"/>
        </w:rPr>
        <w:t>万元，下降</w:t>
      </w: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1.23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>%,</w:t>
      </w:r>
      <w:r>
        <w:rPr>
          <w:rFonts w:ascii="仿宋" w:hAnsi="仿宋" w:eastAsia="仿宋" w:cs="仿宋"/>
          <w:spacing w:val="22"/>
          <w:sz w:val="32"/>
          <w:szCs w:val="32"/>
        </w:rPr>
        <w:t>主要是</w:t>
      </w:r>
      <w:r>
        <w:rPr>
          <w:rFonts w:ascii="仿宋" w:hAnsi="仿宋" w:eastAsia="仿宋" w:cs="仿宋"/>
          <w:spacing w:val="18"/>
          <w:sz w:val="32"/>
          <w:szCs w:val="32"/>
        </w:rPr>
        <w:t>经费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拨款</w:t>
      </w:r>
      <w:r>
        <w:rPr>
          <w:rFonts w:ascii="仿宋" w:hAnsi="仿宋" w:eastAsia="仿宋" w:cs="仿宋"/>
          <w:spacing w:val="18"/>
          <w:sz w:val="32"/>
          <w:szCs w:val="32"/>
        </w:rPr>
        <w:t>减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少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27.98</w:t>
      </w:r>
      <w:r>
        <w:rPr>
          <w:rFonts w:ascii="仿宋" w:hAnsi="仿宋" w:eastAsia="仿宋" w:cs="仿宋"/>
          <w:spacing w:val="18"/>
          <w:sz w:val="32"/>
          <w:szCs w:val="32"/>
        </w:rPr>
        <w:t>万元，主要</w:t>
      </w:r>
      <w:r>
        <w:rPr>
          <w:rFonts w:ascii="仿宋" w:hAnsi="仿宋" w:eastAsia="仿宋" w:cs="仿宋"/>
          <w:spacing w:val="-3"/>
          <w:sz w:val="32"/>
          <w:szCs w:val="32"/>
        </w:rPr>
        <w:t>原因是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类档经费下调及项目经费压减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  <w:r>
        <w:rPr>
          <w:rFonts w:ascii="仿宋" w:hAnsi="仿宋" w:eastAsia="仿宋" w:cs="仿宋"/>
          <w:spacing w:val="-12"/>
          <w:sz w:val="32"/>
          <w:szCs w:val="32"/>
        </w:rPr>
        <w:t>具体安排情况如下：</w:t>
      </w:r>
    </w:p>
    <w:p w14:paraId="406DF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348" w:lineRule="auto"/>
        <w:ind w:firstLine="67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(一)基本支出</w:t>
      </w:r>
      <w:r>
        <w:rPr>
          <w:rFonts w:ascii="仿宋" w:hAnsi="仿宋" w:eastAsia="仿宋" w:cs="仿宋"/>
          <w:spacing w:val="9"/>
          <w:sz w:val="32"/>
          <w:szCs w:val="32"/>
        </w:rPr>
        <w:t>：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市水运事务中心</w:t>
      </w:r>
      <w:r>
        <w:rPr>
          <w:rFonts w:ascii="仿宋" w:hAnsi="仿宋" w:eastAsia="仿宋" w:cs="仿宋"/>
          <w:spacing w:val="9"/>
          <w:sz w:val="32"/>
          <w:szCs w:val="32"/>
        </w:rPr>
        <w:t>2026年一般公共预算基本支出</w:t>
      </w:r>
      <w:r>
        <w:rPr>
          <w:rFonts w:ascii="仿宋" w:hAnsi="仿宋" w:eastAsia="仿宋" w:cs="仿宋"/>
          <w:spacing w:val="-2"/>
          <w:sz w:val="32"/>
          <w:szCs w:val="32"/>
        </w:rPr>
        <w:t>年初预算数为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pacing w:val="-2"/>
          <w:sz w:val="32"/>
          <w:szCs w:val="32"/>
        </w:rPr>
        <w:t>万元，其中：人员经费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1758.23</w:t>
      </w:r>
      <w:r>
        <w:rPr>
          <w:rFonts w:ascii="仿宋" w:hAnsi="仿宋" w:eastAsia="仿宋" w:cs="仿宋"/>
          <w:spacing w:val="-2"/>
          <w:sz w:val="32"/>
          <w:szCs w:val="32"/>
        </w:rPr>
        <w:t>万元，包括：基本</w:t>
      </w:r>
      <w:r>
        <w:rPr>
          <w:rFonts w:ascii="仿宋" w:hAnsi="仿宋" w:eastAsia="仿宋" w:cs="仿宋"/>
          <w:spacing w:val="-11"/>
          <w:sz w:val="32"/>
          <w:szCs w:val="32"/>
        </w:rPr>
        <w:t>工资、津贴补贴、奖金、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绩效工资、社会保障缴费、住房公积金、其他工资福利支出</w:t>
      </w:r>
      <w:r>
        <w:rPr>
          <w:rFonts w:ascii="仿宋" w:hAnsi="仿宋" w:eastAsia="仿宋" w:cs="仿宋"/>
          <w:spacing w:val="8"/>
          <w:sz w:val="32"/>
          <w:szCs w:val="32"/>
        </w:rPr>
        <w:t>;公用经费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279.17</w:t>
      </w:r>
      <w:r>
        <w:rPr>
          <w:rFonts w:ascii="仿宋" w:hAnsi="仿宋" w:eastAsia="仿宋" w:cs="仿宋"/>
          <w:spacing w:val="8"/>
          <w:sz w:val="32"/>
          <w:szCs w:val="32"/>
        </w:rPr>
        <w:t>万元，包括：办公费、印刷费</w:t>
      </w:r>
      <w:r>
        <w:rPr>
          <w:rFonts w:ascii="仿宋" w:hAnsi="仿宋" w:eastAsia="仿宋" w:cs="仿宋"/>
          <w:spacing w:val="1"/>
          <w:sz w:val="32"/>
          <w:szCs w:val="32"/>
        </w:rPr>
        <w:t>、水费、电费、邮电费、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物业管理费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、差旅费、培训费、劳务费、委托业务费、工会经费、公务用车运行维护费、其他交通费用、其他商品和服务支出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</w:p>
    <w:p w14:paraId="66E84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48" w:lineRule="auto"/>
        <w:ind w:right="91" w:firstLine="668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ascii="楷体" w:hAnsi="楷体" w:eastAsia="楷体" w:cs="楷体"/>
          <w:spacing w:val="7"/>
          <w:sz w:val="32"/>
          <w:szCs w:val="32"/>
        </w:rPr>
        <w:t>(二)项目支出</w:t>
      </w:r>
      <w:r>
        <w:rPr>
          <w:rFonts w:ascii="仿宋" w:hAnsi="仿宋" w:eastAsia="仿宋" w:cs="仿宋"/>
          <w:spacing w:val="7"/>
          <w:sz w:val="32"/>
          <w:szCs w:val="32"/>
        </w:rPr>
        <w:t>：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市水运事务中心</w:t>
      </w:r>
      <w:r>
        <w:rPr>
          <w:rFonts w:ascii="仿宋" w:hAnsi="仿宋" w:eastAsia="仿宋" w:cs="仿宋"/>
          <w:spacing w:val="7"/>
          <w:sz w:val="32"/>
          <w:szCs w:val="32"/>
        </w:rPr>
        <w:t>2026年一般公共预算项目支出</w:t>
      </w:r>
      <w:r>
        <w:rPr>
          <w:rFonts w:ascii="仿宋" w:hAnsi="仿宋" w:eastAsia="仿宋" w:cs="仿宋"/>
          <w:spacing w:val="-2"/>
          <w:sz w:val="32"/>
          <w:szCs w:val="32"/>
        </w:rPr>
        <w:t>年初预算数为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215</w:t>
      </w:r>
      <w:r>
        <w:rPr>
          <w:rFonts w:ascii="仿宋" w:hAnsi="仿宋" w:eastAsia="仿宋" w:cs="仿宋"/>
          <w:spacing w:val="-2"/>
          <w:sz w:val="32"/>
          <w:szCs w:val="32"/>
        </w:rPr>
        <w:t>万元，其中事业运行经费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215</w:t>
      </w:r>
      <w:r>
        <w:rPr>
          <w:rFonts w:ascii="仿宋" w:hAnsi="仿宋" w:eastAsia="仿宋" w:cs="仿宋"/>
          <w:spacing w:val="-2"/>
          <w:sz w:val="32"/>
          <w:szCs w:val="32"/>
        </w:rPr>
        <w:t>万元</w:t>
      </w:r>
      <w:r>
        <w:rPr>
          <w:rFonts w:ascii="仿宋" w:hAnsi="仿宋" w:eastAsia="仿宋" w:cs="仿宋"/>
          <w:spacing w:val="-3"/>
          <w:sz w:val="32"/>
          <w:szCs w:val="32"/>
        </w:rPr>
        <w:t>，主要用于</w:t>
      </w:r>
      <w:r>
        <w:rPr>
          <w:rFonts w:hint="default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主要用于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船舶污染物回收转运处置经费</w:t>
      </w:r>
      <w:r>
        <w:rPr>
          <w:rFonts w:hint="eastAsia" w:ascii="Times New Roman" w:hAnsi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海巡艇管养经费、船舶检验履职经费、视频监控租赁等方面。</w:t>
      </w:r>
    </w:p>
    <w:p w14:paraId="647B8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652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五、政府性基金预算拨款收支情况</w:t>
      </w:r>
    </w:p>
    <w:p w14:paraId="26C57B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市水运事务中心2026年无使用政府性基金预算拨款安排的支出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color="auto" w:fill="FFFFFF"/>
        </w:rPr>
        <w:t>。</w:t>
      </w:r>
    </w:p>
    <w:p w14:paraId="0A957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48" w:lineRule="auto"/>
        <w:ind w:left="652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六、其他重要事项的情况说明</w:t>
      </w:r>
    </w:p>
    <w:p w14:paraId="3A7213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72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(一)运行经费情况。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市水运事务中心运行经费预算279.17万元，较上年预算减少34.04万元，减少10.87%。，其减少原因为严格落实过紧日子要求，进一步压减一般性支出。</w:t>
      </w:r>
    </w:p>
    <w:p w14:paraId="565E7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48" w:lineRule="auto"/>
        <w:ind w:right="88" w:firstLine="77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2"/>
          <w:sz w:val="32"/>
          <w:szCs w:val="32"/>
        </w:rPr>
        <w:t>(二)“三公”经费预算情况。2026年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市水运事务中心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“三公”经费预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算数为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万元，其中：公务接待费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万元，因公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出国(境)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费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万元(公务用车购置费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万元、公务用车运行维护费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万元)。2026年“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三公”经费</w:t>
      </w:r>
      <w:r>
        <w:rPr>
          <w:rFonts w:hint="eastAsia" w:ascii="仿宋" w:hAnsi="仿宋" w:eastAsia="仿宋" w:cs="仿宋"/>
          <w:spacing w:val="25"/>
          <w:sz w:val="32"/>
          <w:szCs w:val="32"/>
        </w:rPr>
        <w:t>预算较上年减少</w:t>
      </w:r>
      <w:r>
        <w:rPr>
          <w:rFonts w:hint="eastAsia" w:ascii="仿宋" w:hAnsi="仿宋" w:eastAsia="仿宋" w:cs="仿宋"/>
          <w:spacing w:val="25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spacing w:val="25"/>
          <w:sz w:val="32"/>
          <w:szCs w:val="32"/>
        </w:rPr>
        <w:t>万元，下降</w:t>
      </w:r>
      <w:r>
        <w:rPr>
          <w:rFonts w:hint="eastAsia" w:ascii="仿宋" w:hAnsi="仿宋" w:eastAsia="仿宋" w:cs="仿宋"/>
          <w:spacing w:val="25"/>
          <w:sz w:val="32"/>
          <w:szCs w:val="32"/>
          <w:lang w:val="en-US" w:eastAsia="zh-CN"/>
        </w:rPr>
        <w:t>17.65</w:t>
      </w:r>
      <w:r>
        <w:rPr>
          <w:rFonts w:hint="eastAsia" w:ascii="仿宋" w:hAnsi="仿宋" w:eastAsia="仿宋" w:cs="仿宋"/>
          <w:spacing w:val="25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其减少原因为牢固树立过“紧日子”思想，合理安排三公经费预算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。</w:t>
      </w:r>
    </w:p>
    <w:p w14:paraId="7047F1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right="0" w:firstLine="72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(三)一般性支出情况。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2026年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市水运事务中心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会议费预算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培训费预算0.5万元，拟开展事业单位工作人员培训、会计人员继续教育等培训，人数约25人次，主要内容为事业单位工作人员培训、会计人员继续教育；拟举办党建、老干参观学习等活动，经费预算4万元。未计划举办节庆、晚会、论坛、赛事活动。</w:t>
      </w:r>
    </w:p>
    <w:p w14:paraId="1896E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48" w:lineRule="auto"/>
        <w:ind w:right="86" w:firstLine="68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(四)政府采购情况。2026年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市水运事务中心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政府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采购预算总额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142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万元，其中：货物类采购预算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万元、工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程类采购预算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万元、服务类采购预算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万元。</w:t>
      </w:r>
    </w:p>
    <w:p w14:paraId="4ADEC3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right="0" w:firstLine="676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(五)国有资产占用使用及新增资产配置情况。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截至2025年12月底，市水运事务中心共有车辆2台，其中：公务车辆0台，行政执法车辆1台，应急专用车辆0台，其他车辆1台。单位价值50万元以上通用设备1台，单位价值100万元以上专用设备1台。2025年拟报废处置公务用车0辆，新增配置公务用车0辆。</w:t>
      </w:r>
    </w:p>
    <w:p w14:paraId="59D824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beforeAutospacing="0" w:after="105" w:afterAutospacing="0" w:line="348" w:lineRule="auto"/>
        <w:ind w:right="0" w:firstLine="680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楷体" w:hAnsi="楷体" w:eastAsia="楷体" w:cs="楷体"/>
          <w:spacing w:val="10"/>
          <w:sz w:val="32"/>
          <w:szCs w:val="32"/>
        </w:rPr>
        <w:t>(六)预算绩效目标说明。</w:t>
      </w:r>
      <w:r>
        <w:rPr>
          <w:rFonts w:ascii="仿宋" w:hAnsi="仿宋" w:eastAsia="仿宋" w:cs="仿宋"/>
          <w:spacing w:val="10"/>
          <w:sz w:val="32"/>
          <w:szCs w:val="32"/>
        </w:rPr>
        <w:t>本部门(单位)所有支出实行绩</w:t>
      </w:r>
      <w:r>
        <w:rPr>
          <w:rFonts w:ascii="仿宋" w:hAnsi="仿宋" w:eastAsia="仿宋" w:cs="仿宋"/>
          <w:spacing w:val="5"/>
          <w:sz w:val="32"/>
          <w:szCs w:val="32"/>
        </w:rPr>
        <w:t>效目标管理。纳入2026年部门整体支出绩效目标的金额为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2252.4</w:t>
      </w:r>
      <w:r>
        <w:rPr>
          <w:rFonts w:ascii="仿宋" w:hAnsi="仿宋" w:eastAsia="仿宋" w:cs="仿宋"/>
          <w:sz w:val="32"/>
          <w:szCs w:val="32"/>
        </w:rPr>
        <w:t>万元，其中，基本支出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2037.4</w:t>
      </w:r>
      <w:r>
        <w:rPr>
          <w:rFonts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215</w:t>
      </w:r>
      <w:r>
        <w:rPr>
          <w:rFonts w:ascii="仿宋" w:hAnsi="仿宋" w:eastAsia="仿宋" w:cs="仿宋"/>
          <w:sz w:val="32"/>
          <w:szCs w:val="32"/>
        </w:rPr>
        <w:t>万</w:t>
      </w:r>
      <w:r>
        <w:rPr>
          <w:rFonts w:ascii="仿宋" w:hAnsi="仿宋" w:eastAsia="仿宋" w:cs="仿宋"/>
          <w:spacing w:val="-1"/>
          <w:sz w:val="32"/>
          <w:szCs w:val="32"/>
        </w:rPr>
        <w:t>元，具体绩效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目标详见报表。</w:t>
      </w:r>
    </w:p>
    <w:p w14:paraId="12868700">
      <w:pPr>
        <w:spacing w:before="273" w:line="284" w:lineRule="auto"/>
        <w:ind w:right="58" w:firstLine="800"/>
        <w:rPr>
          <w:rFonts w:hint="default" w:ascii="宋体" w:hAnsi="宋体" w:eastAsia="仿宋" w:cs="宋体"/>
          <w:sz w:val="32"/>
          <w:szCs w:val="32"/>
          <w:lang w:val="en-US" w:eastAsia="zh-CN"/>
        </w:rPr>
      </w:pPr>
    </w:p>
    <w:p w14:paraId="1F6919CD">
      <w:pPr>
        <w:spacing w:before="216" w:line="222" w:lineRule="auto"/>
        <w:ind w:left="654"/>
        <w:outlineLvl w:val="1"/>
        <w:rPr>
          <w:rFonts w:ascii="黑体" w:hAnsi="黑体" w:eastAsia="黑体" w:cs="黑体"/>
          <w:sz w:val="32"/>
          <w:szCs w:val="32"/>
        </w:rPr>
        <w:sectPr>
          <w:footerReference r:id="rId8" w:type="default"/>
          <w:pgSz w:w="11900" w:h="16830"/>
          <w:pgMar w:top="1430" w:right="1480" w:bottom="1329" w:left="1609" w:header="0" w:footer="1043" w:gutter="0"/>
          <w:pgNumType w:fmt="decimal"/>
          <w:cols w:space="720" w:num="1"/>
        </w:sect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七、名词解释</w:t>
      </w:r>
    </w:p>
    <w:p w14:paraId="14B84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48" w:lineRule="auto"/>
        <w:ind w:firstLine="624" w:firstLineChars="200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zh-CN" w:bidi="ar"/>
        </w:rPr>
      </w:pPr>
      <w:r>
        <w:rPr>
          <w:rFonts w:ascii="楷体" w:hAnsi="楷体" w:eastAsia="楷体" w:cs="楷体"/>
          <w:spacing w:val="1"/>
          <w:sz w:val="31"/>
          <w:szCs w:val="31"/>
        </w:rPr>
        <w:t>1.运行经费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zh-CN" w:bidi="ar"/>
        </w:rPr>
        <w:t>是指各部门的公用经费，包括办公及印刷费、邮电费、差旅费、会议费、日常维修费、专用资料及一般设备购置费、办公用房水电费、办公用房取暖费、办公用房物业管理费、公务用车运行维护费以及其他费用。</w:t>
      </w:r>
    </w:p>
    <w:p w14:paraId="089064D9">
      <w:pPr>
        <w:spacing w:before="264" w:line="338" w:lineRule="auto"/>
        <w:ind w:firstLine="669"/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zh-CN" w:bidi="ar"/>
        </w:rPr>
      </w:pPr>
      <w:r>
        <w:rPr>
          <w:rFonts w:ascii="楷体" w:hAnsi="楷体" w:eastAsia="楷体" w:cs="楷体"/>
          <w:spacing w:val="1"/>
          <w:sz w:val="31"/>
          <w:szCs w:val="31"/>
          <w:lang w:val="en-US" w:eastAsia="zh-CN"/>
        </w:rPr>
        <w:t>2.“三公”经费：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zh-CN" w:bidi="ar"/>
        </w:rPr>
        <w:t>纳入市财政预算管理的“三公”经费，是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,以及燃料费、维修费、保险费等支出；因公出国(境)费反映单位公务出国(境)的国际旅费、国外城市间交通费、住宿费、伙食费、培训费、公杂费等等支出。</w:t>
      </w:r>
    </w:p>
    <w:p w14:paraId="4734F423">
      <w:pPr>
        <w:pStyle w:val="2"/>
        <w:spacing w:line="356" w:lineRule="auto"/>
      </w:pPr>
    </w:p>
    <w:p w14:paraId="2C85D29F">
      <w:pPr>
        <w:pStyle w:val="2"/>
        <w:spacing w:line="356" w:lineRule="auto"/>
      </w:pPr>
    </w:p>
    <w:p w14:paraId="7C58F681">
      <w:pPr>
        <w:spacing w:before="100" w:line="219" w:lineRule="auto"/>
        <w:ind w:left="17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1"/>
          <w:sz w:val="31"/>
          <w:szCs w:val="31"/>
        </w:rPr>
        <w:t>第二部分2026年部门预算公开表</w:t>
      </w:r>
    </w:p>
    <w:p w14:paraId="633D54B3">
      <w:pPr>
        <w:pStyle w:val="2"/>
        <w:spacing w:line="348" w:lineRule="auto"/>
      </w:pPr>
    </w:p>
    <w:p w14:paraId="088A839C">
      <w:pPr>
        <w:pStyle w:val="2"/>
        <w:spacing w:line="348" w:lineRule="auto"/>
      </w:pPr>
    </w:p>
    <w:p w14:paraId="42864287">
      <w:pPr>
        <w:spacing w:before="101" w:line="221" w:lineRule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7"/>
          <w:sz w:val="32"/>
          <w:szCs w:val="32"/>
        </w:rPr>
        <w:t>注：报表中空表表示本部门无相关收支情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况。</w:t>
      </w:r>
    </w:p>
    <w:sectPr>
      <w:headerReference r:id="rId9" w:type="default"/>
      <w:footerReference r:id="rId10" w:type="default"/>
      <w:pgSz w:w="11900" w:h="16830"/>
      <w:pgMar w:top="400" w:right="339" w:bottom="339" w:left="144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552A4">
    <w:pPr>
      <w:spacing w:line="237" w:lineRule="auto"/>
      <w:jc w:val="right"/>
      <w:rPr>
        <w:rFonts w:ascii="黑体" w:hAnsi="黑体" w:eastAsia="黑体" w:cs="黑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A78A">
    <w:pPr>
      <w:spacing w:line="231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81C94">
    <w:pPr>
      <w:spacing w:line="231" w:lineRule="auto"/>
      <w:rPr>
        <w:rFonts w:ascii="宋体" w:hAnsi="宋体" w:eastAsia="宋体" w:cs="宋体"/>
        <w:sz w:val="23"/>
        <w:szCs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A56F">
    <w:pPr>
      <w:spacing w:line="231" w:lineRule="auto"/>
      <w:rPr>
        <w:rFonts w:ascii="宋体" w:hAnsi="宋体" w:eastAsia="宋体" w:cs="宋体"/>
        <w:sz w:val="22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927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7637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EFCB8"/>
    <w:multiLevelType w:val="singleLevel"/>
    <w:tmpl w:val="9B9EFC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179AB"/>
    <w:rsid w:val="05A472E1"/>
    <w:rsid w:val="06C307B7"/>
    <w:rsid w:val="07982F01"/>
    <w:rsid w:val="08EC6B08"/>
    <w:rsid w:val="0F43251D"/>
    <w:rsid w:val="106018E8"/>
    <w:rsid w:val="10DE3DCE"/>
    <w:rsid w:val="14DC103B"/>
    <w:rsid w:val="150D661D"/>
    <w:rsid w:val="19240108"/>
    <w:rsid w:val="1C30503A"/>
    <w:rsid w:val="20AD693D"/>
    <w:rsid w:val="215341B6"/>
    <w:rsid w:val="227B26D3"/>
    <w:rsid w:val="260D6816"/>
    <w:rsid w:val="43B17679"/>
    <w:rsid w:val="55E93AE3"/>
    <w:rsid w:val="58B03E1F"/>
    <w:rsid w:val="5CC40179"/>
    <w:rsid w:val="5DB66BFD"/>
    <w:rsid w:val="61F07161"/>
    <w:rsid w:val="713B287F"/>
    <w:rsid w:val="71BE1FB9"/>
    <w:rsid w:val="7AF7614A"/>
    <w:rsid w:val="7EEA6053"/>
    <w:rsid w:val="7F5C6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2856</Words>
  <Characters>3123</Characters>
  <TotalTime>26</TotalTime>
  <ScaleCrop>false</ScaleCrop>
  <LinksUpToDate>false</LinksUpToDate>
  <CharactersWithSpaces>3124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2026-01-28T10:15:00Z</dcterms:created>
  <dc:creator>Administrator</dc:creator>
  <cp:lastModifiedBy>吴东</cp:lastModifiedBy>
  <dcterms:modified xsi:type="dcterms:W3CDTF">2026-03-20T00:43:39Z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2026-01-28T10:15:25Z</vt:filetime>
  </property>
  <property fmtid="{D5CDD505-2E9C-101B-9397-08002B2CF9AE}" pid="4" name="UsrData">
    <vt:lpwstr>69797132da7715001f00eff3wl</vt:lpwstr>
  </property>
  <property fmtid="{D5CDD505-2E9C-101B-9397-08002B2CF9AE}" pid="5" name="KSOTemplateDocerSaveRecord">
    <vt:lpwstr>eyJoZGlkIjoiZDU4ZDVkMTY1OWE4MzU5ZjJjZmFhNjYxM2Y5ZmZlZGEiLCJ1c2VySWQiOiI2ODU2MTI5OTMifQ==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85107F2E9CBB4632B603612116ADE063_13</vt:lpwstr>
  </property>
</Properties>
</file>